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42C0A" w14:textId="77777777" w:rsidR="00690B41" w:rsidRPr="00690B41" w:rsidRDefault="00690B41" w:rsidP="00690B41">
      <w:r w:rsidRPr="00690B41">
        <w:rPr>
          <w:b/>
          <w:bCs/>
        </w:rPr>
        <w:t>Перечень случаев оказания бесплатной юридической помощи</w:t>
      </w:r>
    </w:p>
    <w:p w14:paraId="0D5A6476" w14:textId="77777777" w:rsidR="00690B41" w:rsidRPr="00690B41" w:rsidRDefault="00690B41" w:rsidP="00690B41">
      <w:r w:rsidRPr="00690B41">
        <w:rPr>
          <w:b/>
          <w:bCs/>
        </w:rPr>
        <w:t> </w:t>
      </w:r>
    </w:p>
    <w:p w14:paraId="5FCCBAD6" w14:textId="77777777" w:rsidR="00690B41" w:rsidRPr="00690B41" w:rsidRDefault="00690B41" w:rsidP="00690B41">
      <w:r w:rsidRPr="00690B41">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4C2897E1" w14:textId="77777777" w:rsidR="00690B41" w:rsidRPr="00690B41" w:rsidRDefault="00690B41" w:rsidP="00690B41">
      <w:r w:rsidRPr="00690B41">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w:t>
      </w:r>
      <w:r w:rsidRPr="00690B41">
        <w:noBreakHyphen/>
        <w:t>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4C578168" w14:textId="77777777" w:rsidR="00690B41" w:rsidRPr="00690B41" w:rsidRDefault="00690B41" w:rsidP="00690B41">
      <w:r w:rsidRPr="00690B41">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540C577C" w14:textId="77777777" w:rsidR="00690B41" w:rsidRPr="00690B41" w:rsidRDefault="00690B41" w:rsidP="00690B41">
      <w:r w:rsidRPr="00690B41">
        <w:t>4) защита прав потребителей (в части предоставления коммунальных услуг, платных медицинских услуг);</w:t>
      </w:r>
    </w:p>
    <w:p w14:paraId="78850EAE" w14:textId="77777777" w:rsidR="00690B41" w:rsidRPr="00690B41" w:rsidRDefault="00690B41" w:rsidP="00690B41">
      <w:r w:rsidRPr="00690B41">
        <w:t>5) отказ работодателя в заключении трудового договора, нарушающий гарантии, установленные Трудовым </w:t>
      </w:r>
      <w:hyperlink r:id="rId4" w:history="1">
        <w:r w:rsidRPr="00690B41">
          <w:rPr>
            <w:rStyle w:val="ac"/>
          </w:rPr>
          <w:t>кодексом</w:t>
        </w:r>
      </w:hyperlink>
      <w:r w:rsidRPr="00690B41">
        <w:t>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239112DD" w14:textId="77777777" w:rsidR="00690B41" w:rsidRPr="00690B41" w:rsidRDefault="00690B41" w:rsidP="00690B41">
      <w:r w:rsidRPr="00690B41">
        <w:t>6) признание гражданина безработным и установление пособия по безработице;</w:t>
      </w:r>
    </w:p>
    <w:p w14:paraId="0F8D6043" w14:textId="77777777" w:rsidR="00690B41" w:rsidRPr="00690B41" w:rsidRDefault="00690B41" w:rsidP="00690B41">
      <w:r w:rsidRPr="00690B41">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3DB291C1" w14:textId="77777777" w:rsidR="00690B41" w:rsidRPr="00690B41" w:rsidRDefault="00690B41" w:rsidP="00690B41">
      <w:r w:rsidRPr="00690B41">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068E616C" w14:textId="77777777" w:rsidR="00690B41" w:rsidRPr="00690B41" w:rsidRDefault="00690B41" w:rsidP="00690B41">
      <w:r w:rsidRPr="00690B41">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1F3C2A94" w14:textId="77777777" w:rsidR="00690B41" w:rsidRPr="00690B41" w:rsidRDefault="00690B41" w:rsidP="00690B41">
      <w:r w:rsidRPr="00690B41">
        <w:t>10) установление и оспаривание отцовства (материнства), взыскание алиментов;</w:t>
      </w:r>
    </w:p>
    <w:p w14:paraId="623A2809" w14:textId="77777777" w:rsidR="00690B41" w:rsidRPr="00690B41" w:rsidRDefault="00690B41" w:rsidP="00690B41">
      <w:r w:rsidRPr="00690B41">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6C1ECAEB" w14:textId="77777777" w:rsidR="00690B41" w:rsidRPr="00690B41" w:rsidRDefault="00690B41" w:rsidP="00690B41">
      <w:r w:rsidRPr="00690B41">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745B778E" w14:textId="77777777" w:rsidR="00690B41" w:rsidRPr="00690B41" w:rsidRDefault="00690B41" w:rsidP="00690B41">
      <w:r w:rsidRPr="00690B41">
        <w:t>11) реабилитация граждан, пострадавших от политических репрессий;</w:t>
      </w:r>
    </w:p>
    <w:p w14:paraId="740668DC" w14:textId="77777777" w:rsidR="00690B41" w:rsidRPr="00690B41" w:rsidRDefault="00690B41" w:rsidP="00690B41">
      <w:r w:rsidRPr="00690B41">
        <w:t>12) ограничение дееспособности;</w:t>
      </w:r>
    </w:p>
    <w:p w14:paraId="34F1BDE1" w14:textId="77777777" w:rsidR="00690B41" w:rsidRPr="00690B41" w:rsidRDefault="00690B41" w:rsidP="00690B41">
      <w:r w:rsidRPr="00690B41">
        <w:lastRenderedPageBreak/>
        <w:t>13) обжалование нарушений прав и свобод граждан при оказании психиатрической помощи;</w:t>
      </w:r>
    </w:p>
    <w:p w14:paraId="390E2141" w14:textId="77777777" w:rsidR="00690B41" w:rsidRPr="00690B41" w:rsidRDefault="00690B41" w:rsidP="00690B41">
      <w:r w:rsidRPr="00690B41">
        <w:t>14) медико-социальная экспертиза, реабилитация инвалидов и абилитация инвалидов;</w:t>
      </w:r>
    </w:p>
    <w:p w14:paraId="6E1E7D26" w14:textId="77777777" w:rsidR="00690B41" w:rsidRPr="00690B41" w:rsidRDefault="00690B41" w:rsidP="00690B41">
      <w:r w:rsidRPr="00690B41">
        <w:t>15) обжалование во внесудебном порядке актов органов государственной власти, органов местного самоуправления и должностных лиц;</w:t>
      </w:r>
    </w:p>
    <w:p w14:paraId="22B40009" w14:textId="77777777" w:rsidR="00690B41" w:rsidRPr="00690B41" w:rsidRDefault="00690B41" w:rsidP="00690B41">
      <w:r w:rsidRPr="00690B41">
        <w:t>16) нарушение порядка и условий предоставления льгот и субсидий;</w:t>
      </w:r>
    </w:p>
    <w:p w14:paraId="6E721C07" w14:textId="77777777" w:rsidR="00690B41" w:rsidRPr="00690B41" w:rsidRDefault="00690B41" w:rsidP="00690B41">
      <w:r w:rsidRPr="00690B41">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2AAA32AD" w14:textId="77777777" w:rsidR="00690B41" w:rsidRPr="00690B41" w:rsidRDefault="00690B41" w:rsidP="00690B41">
      <w:r w:rsidRPr="00690B41">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14:paraId="5E66F3AF" w14:textId="77777777" w:rsidR="00690B41" w:rsidRPr="00690B41" w:rsidRDefault="00690B41" w:rsidP="00690B41">
      <w:r w:rsidRPr="00690B41">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инвалидности и по случаю потери кормильца;</w:t>
      </w:r>
    </w:p>
    <w:p w14:paraId="2E9F5C70" w14:textId="77777777" w:rsidR="00690B41" w:rsidRPr="00690B41" w:rsidRDefault="00690B41" w:rsidP="00690B41">
      <w:r w:rsidRPr="00690B41">
        <w:t>20) обеспечение денежным довольствием военнослужащих и предоставление им отдельных выплат в соответствии с Федеральным </w:t>
      </w:r>
      <w:hyperlink r:id="rId5" w:history="1">
        <w:r w:rsidRPr="00690B41">
          <w:rPr>
            <w:rStyle w:val="ac"/>
          </w:rPr>
          <w:t>законом </w:t>
        </w:r>
      </w:hyperlink>
      <w:r w:rsidRPr="00690B41">
        <w:t>от 7 ноября 2011 года N 306-ФЗ "О денежном довольствии военнослужащих и предоставлении им отдельных выплат";</w:t>
      </w:r>
    </w:p>
    <w:p w14:paraId="32AA02B0" w14:textId="77777777" w:rsidR="00690B41" w:rsidRPr="00690B41" w:rsidRDefault="00690B41" w:rsidP="00690B41">
      <w:r w:rsidRPr="00690B41">
        <w:t>21) предоставление льгот, социальных гарантий и компенсаций лицам, указанным в </w:t>
      </w:r>
      <w:hyperlink r:id="rId6" w:history="1">
        <w:r w:rsidRPr="00690B41">
          <w:rPr>
            <w:rStyle w:val="ac"/>
          </w:rPr>
          <w:t>пунктах 3.5</w:t>
        </w:r>
      </w:hyperlink>
      <w:r w:rsidRPr="00690B41">
        <w:t> и </w:t>
      </w:r>
      <w:hyperlink r:id="rId7" w:history="1">
        <w:r w:rsidRPr="00690B41">
          <w:rPr>
            <w:rStyle w:val="ac"/>
          </w:rPr>
          <w:t>3.6 части 1</w:t>
        </w:r>
      </w:hyperlink>
      <w:r w:rsidRPr="00690B41">
        <w:t> настоящей статьи;</w:t>
      </w:r>
    </w:p>
    <w:p w14:paraId="3F35F726" w14:textId="77777777" w:rsidR="00690B41" w:rsidRPr="00690B41" w:rsidRDefault="00690B41" w:rsidP="00690B41">
      <w:r w:rsidRPr="00690B41">
        <w:t>22) предоставление льгот, социальных гарантий и компенсаций лицам, указанным в </w:t>
      </w:r>
      <w:hyperlink r:id="rId8" w:history="1">
        <w:r w:rsidRPr="00690B41">
          <w:rPr>
            <w:rStyle w:val="ac"/>
          </w:rPr>
          <w:t>пункте 3.7 части 1 </w:t>
        </w:r>
      </w:hyperlink>
      <w:r w:rsidRPr="00690B41">
        <w:t>настоящей статьи;</w:t>
      </w:r>
    </w:p>
    <w:p w14:paraId="14574526" w14:textId="77777777" w:rsidR="00690B41" w:rsidRPr="00690B41" w:rsidRDefault="00690B41" w:rsidP="00690B41">
      <w:r w:rsidRPr="00690B41">
        <w:t>23) признание гражданина из числа лиц, указанных в </w:t>
      </w:r>
      <w:hyperlink r:id="rId9" w:history="1">
        <w:r w:rsidRPr="00690B41">
          <w:rPr>
            <w:rStyle w:val="ac"/>
          </w:rPr>
          <w:t>пунктах 3.5</w:t>
        </w:r>
      </w:hyperlink>
      <w:r w:rsidRPr="00690B41">
        <w:t> и </w:t>
      </w:r>
      <w:hyperlink r:id="rId10" w:history="1">
        <w:r w:rsidRPr="00690B41">
          <w:rPr>
            <w:rStyle w:val="ac"/>
          </w:rPr>
          <w:t>3.6 части 1 </w:t>
        </w:r>
      </w:hyperlink>
      <w:r w:rsidRPr="00690B41">
        <w:t>настоящей статьи (за исключением членов их семей), безвестно отсутствующим;</w:t>
      </w:r>
    </w:p>
    <w:p w14:paraId="73047C32" w14:textId="77777777" w:rsidR="00690B41" w:rsidRPr="00690B41" w:rsidRDefault="00690B41" w:rsidP="00690B41">
      <w:r w:rsidRPr="00690B41">
        <w:t>24) объявление гражданина из числа лиц, указанных в </w:t>
      </w:r>
      <w:hyperlink r:id="rId11" w:history="1">
        <w:r w:rsidRPr="00690B41">
          <w:rPr>
            <w:rStyle w:val="ac"/>
          </w:rPr>
          <w:t>пунктах 3.5</w:t>
        </w:r>
      </w:hyperlink>
      <w:r w:rsidRPr="00690B41">
        <w:t> и  </w:t>
      </w:r>
      <w:hyperlink r:id="rId12" w:history="1">
        <w:r w:rsidRPr="00690B41">
          <w:rPr>
            <w:rStyle w:val="ac"/>
          </w:rPr>
          <w:t>3.6 части 1</w:t>
        </w:r>
      </w:hyperlink>
      <w:r w:rsidRPr="00690B41">
        <w:t> настоящей статьи (за исключением членов их семей), умершим;</w:t>
      </w:r>
    </w:p>
    <w:p w14:paraId="0E1D8F9D" w14:textId="77777777" w:rsidR="00690B41" w:rsidRPr="00690B41" w:rsidRDefault="00690B41" w:rsidP="00690B41">
      <w:r w:rsidRPr="00690B41">
        <w:t>25) предоставление льгот, социальных гарантий, компенсаций, иных мер социальной поддержки лицам,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ядерных испытаний на Семипалатинском полигоне, гражданам из подразделений особого риска, предусмотренных пунктом 1 постановления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3C818539" w14:textId="77777777" w:rsidR="001D4AC4" w:rsidRDefault="001D4AC4"/>
    <w:sectPr w:rsidR="001D4AC4" w:rsidSect="00690B4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41"/>
    <w:rsid w:val="001D4AC4"/>
    <w:rsid w:val="00690B41"/>
    <w:rsid w:val="00AD5C44"/>
    <w:rsid w:val="00F4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B186"/>
  <w15:chartTrackingRefBased/>
  <w15:docId w15:val="{99B2345B-30C4-430A-BBA3-A806F80F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0B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0B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0B4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0B4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0B4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0B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0B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0B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0B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B4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0B4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0B4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0B4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0B4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0B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0B41"/>
    <w:rPr>
      <w:rFonts w:eastAsiaTheme="majorEastAsia" w:cstheme="majorBidi"/>
      <w:color w:val="595959" w:themeColor="text1" w:themeTint="A6"/>
    </w:rPr>
  </w:style>
  <w:style w:type="character" w:customStyle="1" w:styleId="80">
    <w:name w:val="Заголовок 8 Знак"/>
    <w:basedOn w:val="a0"/>
    <w:link w:val="8"/>
    <w:uiPriority w:val="9"/>
    <w:semiHidden/>
    <w:rsid w:val="00690B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0B41"/>
    <w:rPr>
      <w:rFonts w:eastAsiaTheme="majorEastAsia" w:cstheme="majorBidi"/>
      <w:color w:val="272727" w:themeColor="text1" w:themeTint="D8"/>
    </w:rPr>
  </w:style>
  <w:style w:type="paragraph" w:styleId="a3">
    <w:name w:val="Title"/>
    <w:basedOn w:val="a"/>
    <w:next w:val="a"/>
    <w:link w:val="a4"/>
    <w:uiPriority w:val="10"/>
    <w:qFormat/>
    <w:rsid w:val="00690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0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B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0B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0B41"/>
    <w:pPr>
      <w:spacing w:before="160"/>
      <w:jc w:val="center"/>
    </w:pPr>
    <w:rPr>
      <w:i/>
      <w:iCs/>
      <w:color w:val="404040" w:themeColor="text1" w:themeTint="BF"/>
    </w:rPr>
  </w:style>
  <w:style w:type="character" w:customStyle="1" w:styleId="22">
    <w:name w:val="Цитата 2 Знак"/>
    <w:basedOn w:val="a0"/>
    <w:link w:val="21"/>
    <w:uiPriority w:val="29"/>
    <w:rsid w:val="00690B41"/>
    <w:rPr>
      <w:i/>
      <w:iCs/>
      <w:color w:val="404040" w:themeColor="text1" w:themeTint="BF"/>
    </w:rPr>
  </w:style>
  <w:style w:type="paragraph" w:styleId="a7">
    <w:name w:val="List Paragraph"/>
    <w:basedOn w:val="a"/>
    <w:uiPriority w:val="34"/>
    <w:qFormat/>
    <w:rsid w:val="00690B41"/>
    <w:pPr>
      <w:ind w:left="720"/>
      <w:contextualSpacing/>
    </w:pPr>
  </w:style>
  <w:style w:type="character" w:styleId="a8">
    <w:name w:val="Intense Emphasis"/>
    <w:basedOn w:val="a0"/>
    <w:uiPriority w:val="21"/>
    <w:qFormat/>
    <w:rsid w:val="00690B41"/>
    <w:rPr>
      <w:i/>
      <w:iCs/>
      <w:color w:val="2F5496" w:themeColor="accent1" w:themeShade="BF"/>
    </w:rPr>
  </w:style>
  <w:style w:type="paragraph" w:styleId="a9">
    <w:name w:val="Intense Quote"/>
    <w:basedOn w:val="a"/>
    <w:next w:val="a"/>
    <w:link w:val="aa"/>
    <w:uiPriority w:val="30"/>
    <w:qFormat/>
    <w:rsid w:val="00690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0B41"/>
    <w:rPr>
      <w:i/>
      <w:iCs/>
      <w:color w:val="2F5496" w:themeColor="accent1" w:themeShade="BF"/>
    </w:rPr>
  </w:style>
  <w:style w:type="character" w:styleId="ab">
    <w:name w:val="Intense Reference"/>
    <w:basedOn w:val="a0"/>
    <w:uiPriority w:val="32"/>
    <w:qFormat/>
    <w:rsid w:val="00690B41"/>
    <w:rPr>
      <w:b/>
      <w:bCs/>
      <w:smallCaps/>
      <w:color w:val="2F5496" w:themeColor="accent1" w:themeShade="BF"/>
      <w:spacing w:val="5"/>
    </w:rPr>
  </w:style>
  <w:style w:type="character" w:styleId="ac">
    <w:name w:val="Hyperlink"/>
    <w:basedOn w:val="a0"/>
    <w:uiPriority w:val="99"/>
    <w:unhideWhenUsed/>
    <w:rsid w:val="00690B41"/>
    <w:rPr>
      <w:color w:val="0563C1" w:themeColor="hyperlink"/>
      <w:u w:val="single"/>
    </w:rPr>
  </w:style>
  <w:style w:type="character" w:styleId="ad">
    <w:name w:val="Unresolved Mention"/>
    <w:basedOn w:val="a0"/>
    <w:uiPriority w:val="99"/>
    <w:semiHidden/>
    <w:unhideWhenUsed/>
    <w:rsid w:val="00690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5864">
      <w:bodyDiv w:val="1"/>
      <w:marLeft w:val="0"/>
      <w:marRight w:val="0"/>
      <w:marTop w:val="0"/>
      <w:marBottom w:val="0"/>
      <w:divBdr>
        <w:top w:val="none" w:sz="0" w:space="0" w:color="auto"/>
        <w:left w:val="none" w:sz="0" w:space="0" w:color="auto"/>
        <w:bottom w:val="none" w:sz="0" w:space="0" w:color="auto"/>
        <w:right w:val="none" w:sz="0" w:space="0" w:color="auto"/>
      </w:divBdr>
    </w:div>
    <w:div w:id="17244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53&amp;n=158553&amp;dst=10028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053&amp;n=158553&amp;dst=100286" TargetMode="External"/><Relationship Id="rId12" Type="http://schemas.openxmlformats.org/officeDocument/2006/relationships/hyperlink" Target="https://login.consultant.ru/link/?req=doc&amp;base=RLAW053&amp;n=158553&amp;dst=1002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53&amp;n=158553&amp;dst=100285" TargetMode="External"/><Relationship Id="rId11" Type="http://schemas.openxmlformats.org/officeDocument/2006/relationships/hyperlink" Target="https://login.consultant.ru/link/?req=doc&amp;base=RLAW053&amp;n=158553&amp;dst=100285" TargetMode="External"/><Relationship Id="rId5" Type="http://schemas.openxmlformats.org/officeDocument/2006/relationships/hyperlink" Target="https://login.consultant.ru/link/?req=doc&amp;base=LAW&amp;n=482656" TargetMode="External"/><Relationship Id="rId10" Type="http://schemas.openxmlformats.org/officeDocument/2006/relationships/hyperlink" Target="https://login.consultant.ru/link/?req=doc&amp;base=RLAW053&amp;n=158553&amp;dst=100286" TargetMode="External"/><Relationship Id="rId4" Type="http://schemas.openxmlformats.org/officeDocument/2006/relationships/hyperlink" Target="https://login.consultant.ru/link/?req=doc&amp;base=LAW&amp;n=493198" TargetMode="External"/><Relationship Id="rId9" Type="http://schemas.openxmlformats.org/officeDocument/2006/relationships/hyperlink" Target="https://login.consultant.ru/link/?req=doc&amp;base=RLAW053&amp;n=158553&amp;dst=1002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Плетенев Андрей Дмитриевич</dc:creator>
  <cp:keywords/>
  <dc:description/>
  <cp:lastModifiedBy>Плетенев Андрей Дмитриевич</cp:lastModifiedBy>
  <cp:revision>1</cp:revision>
  <dcterms:created xsi:type="dcterms:W3CDTF">2025-03-27T12:46:00Z</dcterms:created>
  <dcterms:modified xsi:type="dcterms:W3CDTF">2025-03-27T12:47:00Z</dcterms:modified>
</cp:coreProperties>
</file>